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B6B9F" w14:textId="65BF9186" w:rsidR="000C6939" w:rsidRPr="005874F2" w:rsidRDefault="000C6939" w:rsidP="0085458F">
      <w:pPr>
        <w:spacing w:line="480" w:lineRule="auto"/>
        <w:jc w:val="both"/>
        <w:rPr>
          <w:rFonts w:ascii="Times New Roman" w:eastAsia="宋体" w:hAnsi="Times New Roman" w:cs="Times New Roman"/>
          <w:sz w:val="20"/>
          <w:szCs w:val="20"/>
        </w:rPr>
      </w:pPr>
      <w:bookmarkStart w:id="0" w:name="OLE_LINK4"/>
      <w:bookmarkStart w:id="1" w:name="OLE_LINK5"/>
      <w:r w:rsidRPr="005874F2">
        <w:rPr>
          <w:rFonts w:ascii="Times New Roman" w:eastAsia="宋体" w:hAnsi="Times New Roman" w:cs="Times New Roman"/>
          <w:sz w:val="20"/>
          <w:szCs w:val="20"/>
        </w:rPr>
        <w:t xml:space="preserve">Figure </w:t>
      </w:r>
      <w:r w:rsidR="00160136">
        <w:rPr>
          <w:rFonts w:ascii="Times New Roman" w:eastAsia="宋体" w:hAnsi="Times New Roman" w:cs="Times New Roman"/>
          <w:sz w:val="20"/>
          <w:szCs w:val="20"/>
        </w:rPr>
        <w:t>S</w:t>
      </w:r>
      <w:bookmarkStart w:id="2" w:name="_GoBack"/>
      <w:bookmarkEnd w:id="2"/>
      <w:r w:rsidR="0095592B" w:rsidRPr="005874F2">
        <w:rPr>
          <w:rFonts w:ascii="Times New Roman" w:eastAsia="宋体" w:hAnsi="Times New Roman" w:cs="Times New Roman"/>
          <w:sz w:val="20"/>
          <w:szCs w:val="20"/>
        </w:rPr>
        <w:t>2</w:t>
      </w:r>
      <w:r w:rsidRPr="005874F2">
        <w:rPr>
          <w:rFonts w:ascii="Times New Roman" w:eastAsia="宋体" w:hAnsi="Times New Roman" w:cs="Times New Roman"/>
          <w:sz w:val="20"/>
          <w:szCs w:val="20"/>
        </w:rPr>
        <w:t>.</w:t>
      </w:r>
      <w:bookmarkEnd w:id="0"/>
      <w:bookmarkEnd w:id="1"/>
      <w:r w:rsidRPr="005874F2">
        <w:rPr>
          <w:rFonts w:ascii="Times New Roman" w:eastAsia="宋体" w:hAnsi="Times New Roman" w:cs="Times New Roman"/>
          <w:sz w:val="20"/>
          <w:szCs w:val="20"/>
        </w:rPr>
        <w:t xml:space="preserve"> Fatigue reduces the quality of life in patients with gout</w:t>
      </w:r>
    </w:p>
    <w:p w14:paraId="65AC82C8" w14:textId="51FAF0DF" w:rsidR="000C6939" w:rsidRPr="005874F2" w:rsidRDefault="00AC4643" w:rsidP="008909EE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874F2">
        <w:rPr>
          <w:noProof/>
          <w:sz w:val="20"/>
          <w:szCs w:val="20"/>
        </w:rPr>
        <w:drawing>
          <wp:inline distT="0" distB="0" distL="0" distR="0" wp14:anchorId="22F76D96" wp14:editId="6614F425">
            <wp:extent cx="4572000" cy="2743200"/>
            <wp:effectExtent l="0" t="0" r="0" b="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F6570A55-6D0E-43A9-BC0B-5F6ACFB716B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E4BBF93" w14:textId="595FF74F" w:rsidR="000F0A24" w:rsidRPr="00D54658" w:rsidRDefault="00F073B0" w:rsidP="00D546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983BCB">
        <w:rPr>
          <w:rFonts w:ascii="Times New Roman" w:eastAsia="等线" w:hAnsi="Times New Roman" w:cs="Times New Roman"/>
          <w:color w:val="000000"/>
          <w:sz w:val="20"/>
          <w:szCs w:val="20"/>
        </w:rPr>
        <w:t>Notes</w:t>
      </w:r>
      <w:r>
        <w:rPr>
          <w:rFonts w:ascii="Times New Roman" w:eastAsia="宋体" w:hAnsi="Times New Roman" w:cs="Times New Roman"/>
          <w:sz w:val="20"/>
          <w:szCs w:val="20"/>
        </w:rPr>
        <w:t xml:space="preserve">: </w:t>
      </w:r>
      <w:r w:rsidR="000C6939" w:rsidRPr="005874F2">
        <w:rPr>
          <w:rFonts w:ascii="Times New Roman" w:hAnsi="Times New Roman" w:cs="Times New Roman"/>
          <w:sz w:val="20"/>
          <w:szCs w:val="20"/>
        </w:rPr>
        <w:t xml:space="preserve">G1: 0-3 points, G2:4-5 points, G3:6-8 points, G4: 9-14 points; </w:t>
      </w:r>
      <w:r w:rsidR="000C6939" w:rsidRPr="005874F2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PF: physical functioning; RP: role physical; BP: bodily pain; GH: general health; VT: vitality; SF: social functioning; RE: role emotional; MH: mental health; </w:t>
      </w:r>
      <w:r w:rsidR="000C6939" w:rsidRPr="005874F2">
        <w:rPr>
          <w:rFonts w:ascii="Times New Roman" w:hAnsi="Times New Roman" w:cs="Times New Roman"/>
          <w:sz w:val="20"/>
          <w:szCs w:val="20"/>
        </w:rPr>
        <w:t>PCS: physical Composite Score; MCS: mental Component Summary.</w:t>
      </w:r>
    </w:p>
    <w:sectPr w:rsidR="000F0A24" w:rsidRPr="00D54658" w:rsidSect="009B2B2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B1AD85" w14:textId="77777777" w:rsidR="00F77565" w:rsidRDefault="00F77565" w:rsidP="000C6939">
      <w:pPr>
        <w:spacing w:after="0" w:line="240" w:lineRule="auto"/>
      </w:pPr>
      <w:r>
        <w:separator/>
      </w:r>
    </w:p>
  </w:endnote>
  <w:endnote w:type="continuationSeparator" w:id="0">
    <w:p w14:paraId="4882E3A3" w14:textId="77777777" w:rsidR="00F77565" w:rsidRDefault="00F77565" w:rsidP="000C6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D66117" w14:textId="77777777" w:rsidR="00F77565" w:rsidRDefault="00F77565" w:rsidP="000C6939">
      <w:pPr>
        <w:spacing w:after="0" w:line="240" w:lineRule="auto"/>
      </w:pPr>
      <w:r>
        <w:separator/>
      </w:r>
    </w:p>
  </w:footnote>
  <w:footnote w:type="continuationSeparator" w:id="0">
    <w:p w14:paraId="67DD1F4B" w14:textId="77777777" w:rsidR="00F77565" w:rsidRDefault="00F77565" w:rsidP="000C69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836"/>
    <w:rsid w:val="00014836"/>
    <w:rsid w:val="000C6939"/>
    <w:rsid w:val="000F0A24"/>
    <w:rsid w:val="00160136"/>
    <w:rsid w:val="00182F0E"/>
    <w:rsid w:val="001D1A1E"/>
    <w:rsid w:val="00310A6F"/>
    <w:rsid w:val="003A2C26"/>
    <w:rsid w:val="003B4F71"/>
    <w:rsid w:val="005874F2"/>
    <w:rsid w:val="005C3EEF"/>
    <w:rsid w:val="007770BC"/>
    <w:rsid w:val="0085458F"/>
    <w:rsid w:val="008909EE"/>
    <w:rsid w:val="00917783"/>
    <w:rsid w:val="0095592B"/>
    <w:rsid w:val="009B2B27"/>
    <w:rsid w:val="00AB0773"/>
    <w:rsid w:val="00AC4643"/>
    <w:rsid w:val="00BC3F23"/>
    <w:rsid w:val="00C2799B"/>
    <w:rsid w:val="00D54658"/>
    <w:rsid w:val="00DA6645"/>
    <w:rsid w:val="00DC0823"/>
    <w:rsid w:val="00DE544E"/>
    <w:rsid w:val="00F073B0"/>
    <w:rsid w:val="00F7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E74E20"/>
  <w15:chartTrackingRefBased/>
  <w15:docId w15:val="{20CBBCD2-DC9C-4939-A74A-FCF4EAE23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939"/>
    <w:pPr>
      <w:spacing w:after="200" w:line="276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93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69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693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69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ro\Desktop\&#20889;&#20316;\fatigue\fatigu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sz="1000">
                <a:latin typeface="Times New Roman" panose="02020603050405020304" pitchFamily="18" charset="0"/>
                <a:cs typeface="Times New Roman" panose="02020603050405020304" pitchFamily="18" charset="0"/>
              </a:rPr>
              <a:t>Fatigue lower the quality of life in gout patients</a:t>
            </a:r>
            <a:endParaRPr lang="zh-CN" sz="10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6.9715223097112866E-2"/>
          <c:y val="0.24171843102945464"/>
          <c:w val="0.90528477690288711"/>
          <c:h val="0.5372860163312919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Sheet1!$U$7</c:f>
              <c:strCache>
                <c:ptCount val="1"/>
                <c:pt idx="0">
                  <c:v>G1</c:v>
                </c:pt>
              </c:strCache>
            </c:strRef>
          </c:tx>
          <c:spPr>
            <a:pattFill prst="ltHorz">
              <a:fgClr>
                <a:sysClr val="windowText" lastClr="000000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cat>
            <c:strRef>
              <c:f>Sheet1!$T$8:$T$17</c:f>
              <c:strCache>
                <c:ptCount val="10"/>
                <c:pt idx="0">
                  <c:v>PF</c:v>
                </c:pt>
                <c:pt idx="1">
                  <c:v>RP</c:v>
                </c:pt>
                <c:pt idx="2">
                  <c:v>BP</c:v>
                </c:pt>
                <c:pt idx="3">
                  <c:v>GH</c:v>
                </c:pt>
                <c:pt idx="4">
                  <c:v>VT</c:v>
                </c:pt>
                <c:pt idx="5">
                  <c:v>SF</c:v>
                </c:pt>
                <c:pt idx="6">
                  <c:v>RE</c:v>
                </c:pt>
                <c:pt idx="7">
                  <c:v>MH</c:v>
                </c:pt>
                <c:pt idx="8">
                  <c:v>PCS</c:v>
                </c:pt>
                <c:pt idx="9">
                  <c:v>MCS</c:v>
                </c:pt>
              </c:strCache>
            </c:strRef>
          </c:cat>
          <c:val>
            <c:numRef>
              <c:f>Sheet1!$U$8:$U$17</c:f>
              <c:numCache>
                <c:formatCode>General</c:formatCode>
                <c:ptCount val="10"/>
                <c:pt idx="0">
                  <c:v>78.28</c:v>
                </c:pt>
                <c:pt idx="1">
                  <c:v>56.39</c:v>
                </c:pt>
                <c:pt idx="2">
                  <c:v>55.68</c:v>
                </c:pt>
                <c:pt idx="3">
                  <c:v>64.42</c:v>
                </c:pt>
                <c:pt idx="4">
                  <c:v>76.78</c:v>
                </c:pt>
                <c:pt idx="5">
                  <c:v>76.81</c:v>
                </c:pt>
                <c:pt idx="6">
                  <c:v>82.59</c:v>
                </c:pt>
                <c:pt idx="7">
                  <c:v>80.67</c:v>
                </c:pt>
                <c:pt idx="8">
                  <c:v>63.69</c:v>
                </c:pt>
                <c:pt idx="9">
                  <c:v>79.209999999999994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995-4AD4-A236-1B4CF1F6A577}"/>
            </c:ext>
          </c:extLst>
        </c:ser>
        <c:ser>
          <c:idx val="1"/>
          <c:order val="1"/>
          <c:tx>
            <c:strRef>
              <c:f>Sheet1!$V$7</c:f>
              <c:strCache>
                <c:ptCount val="1"/>
                <c:pt idx="0">
                  <c:v>G2</c:v>
                </c:pt>
              </c:strCache>
            </c:strRef>
          </c:tx>
          <c:spPr>
            <a:pattFill prst="ltUpDiag">
              <a:fgClr>
                <a:sysClr val="windowText" lastClr="000000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cat>
            <c:strRef>
              <c:f>Sheet1!$T$8:$T$17</c:f>
              <c:strCache>
                <c:ptCount val="10"/>
                <c:pt idx="0">
                  <c:v>PF</c:v>
                </c:pt>
                <c:pt idx="1">
                  <c:v>RP</c:v>
                </c:pt>
                <c:pt idx="2">
                  <c:v>BP</c:v>
                </c:pt>
                <c:pt idx="3">
                  <c:v>GH</c:v>
                </c:pt>
                <c:pt idx="4">
                  <c:v>VT</c:v>
                </c:pt>
                <c:pt idx="5">
                  <c:v>SF</c:v>
                </c:pt>
                <c:pt idx="6">
                  <c:v>RE</c:v>
                </c:pt>
                <c:pt idx="7">
                  <c:v>MH</c:v>
                </c:pt>
                <c:pt idx="8">
                  <c:v>PCS</c:v>
                </c:pt>
                <c:pt idx="9">
                  <c:v>MCS</c:v>
                </c:pt>
              </c:strCache>
            </c:strRef>
          </c:cat>
          <c:val>
            <c:numRef>
              <c:f>Sheet1!$V$8:$V$17</c:f>
              <c:numCache>
                <c:formatCode>General</c:formatCode>
                <c:ptCount val="10"/>
                <c:pt idx="0">
                  <c:v>75.760000000000005</c:v>
                </c:pt>
                <c:pt idx="1">
                  <c:v>43.83</c:v>
                </c:pt>
                <c:pt idx="2">
                  <c:v>55.41</c:v>
                </c:pt>
                <c:pt idx="3">
                  <c:v>56.22</c:v>
                </c:pt>
                <c:pt idx="4">
                  <c:v>68.209999999999994</c:v>
                </c:pt>
                <c:pt idx="5">
                  <c:v>74.84</c:v>
                </c:pt>
                <c:pt idx="6">
                  <c:v>63.54</c:v>
                </c:pt>
                <c:pt idx="7">
                  <c:v>72.87</c:v>
                </c:pt>
                <c:pt idx="8">
                  <c:v>57.88</c:v>
                </c:pt>
                <c:pt idx="9">
                  <c:v>69.86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995-4AD4-A236-1B4CF1F6A577}"/>
            </c:ext>
          </c:extLst>
        </c:ser>
        <c:ser>
          <c:idx val="2"/>
          <c:order val="2"/>
          <c:tx>
            <c:strRef>
              <c:f>Sheet1!$W$7</c:f>
              <c:strCache>
                <c:ptCount val="1"/>
                <c:pt idx="0">
                  <c:v>G3</c:v>
                </c:pt>
              </c:strCache>
            </c:strRef>
          </c:tx>
          <c:spPr>
            <a:pattFill prst="wdDnDiag">
              <a:fgClr>
                <a:sysClr val="windowText" lastClr="000000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cat>
            <c:strRef>
              <c:f>Sheet1!$T$8:$T$17</c:f>
              <c:strCache>
                <c:ptCount val="10"/>
                <c:pt idx="0">
                  <c:v>PF</c:v>
                </c:pt>
                <c:pt idx="1">
                  <c:v>RP</c:v>
                </c:pt>
                <c:pt idx="2">
                  <c:v>BP</c:v>
                </c:pt>
                <c:pt idx="3">
                  <c:v>GH</c:v>
                </c:pt>
                <c:pt idx="4">
                  <c:v>VT</c:v>
                </c:pt>
                <c:pt idx="5">
                  <c:v>SF</c:v>
                </c:pt>
                <c:pt idx="6">
                  <c:v>RE</c:v>
                </c:pt>
                <c:pt idx="7">
                  <c:v>MH</c:v>
                </c:pt>
                <c:pt idx="8">
                  <c:v>PCS</c:v>
                </c:pt>
                <c:pt idx="9">
                  <c:v>MCS</c:v>
                </c:pt>
              </c:strCache>
            </c:strRef>
          </c:cat>
          <c:val>
            <c:numRef>
              <c:f>Sheet1!$W$8:$W$17</c:f>
              <c:numCache>
                <c:formatCode>General</c:formatCode>
                <c:ptCount val="10"/>
                <c:pt idx="0">
                  <c:v>63.95</c:v>
                </c:pt>
                <c:pt idx="1">
                  <c:v>24.54</c:v>
                </c:pt>
                <c:pt idx="2">
                  <c:v>44.99</c:v>
                </c:pt>
                <c:pt idx="3">
                  <c:v>50.14</c:v>
                </c:pt>
                <c:pt idx="4">
                  <c:v>59.54</c:v>
                </c:pt>
                <c:pt idx="5">
                  <c:v>62.39</c:v>
                </c:pt>
                <c:pt idx="6">
                  <c:v>49.54</c:v>
                </c:pt>
                <c:pt idx="7">
                  <c:v>67.819999999999993</c:v>
                </c:pt>
                <c:pt idx="8">
                  <c:v>45.9</c:v>
                </c:pt>
                <c:pt idx="9">
                  <c:v>59.82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995-4AD4-A236-1B4CF1F6A577}"/>
            </c:ext>
          </c:extLst>
        </c:ser>
        <c:ser>
          <c:idx val="3"/>
          <c:order val="3"/>
          <c:tx>
            <c:strRef>
              <c:f>Sheet1!$X$7</c:f>
              <c:strCache>
                <c:ptCount val="1"/>
                <c:pt idx="0">
                  <c:v>G4</c:v>
                </c:pt>
              </c:strCache>
            </c:strRef>
          </c:tx>
          <c:spPr>
            <a:pattFill prst="ltDnDiag">
              <a:fgClr>
                <a:sysClr val="windowText" lastClr="000000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cat>
            <c:strRef>
              <c:f>Sheet1!$T$8:$T$17</c:f>
              <c:strCache>
                <c:ptCount val="10"/>
                <c:pt idx="0">
                  <c:v>PF</c:v>
                </c:pt>
                <c:pt idx="1">
                  <c:v>RP</c:v>
                </c:pt>
                <c:pt idx="2">
                  <c:v>BP</c:v>
                </c:pt>
                <c:pt idx="3">
                  <c:v>GH</c:v>
                </c:pt>
                <c:pt idx="4">
                  <c:v>VT</c:v>
                </c:pt>
                <c:pt idx="5">
                  <c:v>SF</c:v>
                </c:pt>
                <c:pt idx="6">
                  <c:v>RE</c:v>
                </c:pt>
                <c:pt idx="7">
                  <c:v>MH</c:v>
                </c:pt>
                <c:pt idx="8">
                  <c:v>PCS</c:v>
                </c:pt>
                <c:pt idx="9">
                  <c:v>MCS</c:v>
                </c:pt>
              </c:strCache>
            </c:strRef>
          </c:cat>
          <c:val>
            <c:numRef>
              <c:f>Sheet1!$X$8:$X$17</c:f>
              <c:numCache>
                <c:formatCode>General</c:formatCode>
                <c:ptCount val="10"/>
                <c:pt idx="0">
                  <c:v>49.48</c:v>
                </c:pt>
                <c:pt idx="1">
                  <c:v>13.62</c:v>
                </c:pt>
                <c:pt idx="2">
                  <c:v>34.96</c:v>
                </c:pt>
                <c:pt idx="3">
                  <c:v>39.67</c:v>
                </c:pt>
                <c:pt idx="4">
                  <c:v>48.73</c:v>
                </c:pt>
                <c:pt idx="5">
                  <c:v>53.17</c:v>
                </c:pt>
                <c:pt idx="6">
                  <c:v>25.87</c:v>
                </c:pt>
                <c:pt idx="7">
                  <c:v>56.24</c:v>
                </c:pt>
                <c:pt idx="8">
                  <c:v>34.43</c:v>
                </c:pt>
                <c:pt idx="9">
                  <c:v>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995-4AD4-A236-1B4CF1F6A5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228343199"/>
        <c:axId val="1031172639"/>
      </c:barChart>
      <c:catAx>
        <c:axId val="12283431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031172639"/>
        <c:crosses val="autoZero"/>
        <c:auto val="1"/>
        <c:lblAlgn val="ctr"/>
        <c:lblOffset val="100"/>
        <c:noMultiLvlLbl val="0"/>
      </c:catAx>
      <c:valAx>
        <c:axId val="10311726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228343199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0AE7A0-6D98-4148-9FFF-435969E4B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19</cp:revision>
  <dcterms:created xsi:type="dcterms:W3CDTF">2019-07-16T07:31:00Z</dcterms:created>
  <dcterms:modified xsi:type="dcterms:W3CDTF">2019-12-15T14:52:00Z</dcterms:modified>
</cp:coreProperties>
</file>